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4FB" w:rsidRPr="007354FB" w:rsidRDefault="007354FB" w:rsidP="007354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7354F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</w:t>
      </w:r>
    </w:p>
    <w:p w:rsidR="00CF0ABA" w:rsidRPr="00AF2676" w:rsidRDefault="00CF0ABA" w:rsidP="00494E9F">
      <w:pPr>
        <w:spacing w:after="0" w:line="240" w:lineRule="auto"/>
        <w:ind w:left="5670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355"/>
      <w:r w:rsidRPr="00AF2676">
        <w:rPr>
          <w:rFonts w:ascii="Times New Roman" w:hAnsi="Times New Roman" w:cs="Times New Roman"/>
          <w:i/>
          <w:sz w:val="20"/>
          <w:szCs w:val="20"/>
        </w:rPr>
        <w:t xml:space="preserve">Додаток </w:t>
      </w:r>
      <w:r>
        <w:rPr>
          <w:rFonts w:ascii="Times New Roman" w:hAnsi="Times New Roman" w:cs="Times New Roman"/>
          <w:i/>
          <w:sz w:val="20"/>
          <w:szCs w:val="20"/>
        </w:rPr>
        <w:t>14</w:t>
      </w:r>
    </w:p>
    <w:p w:rsidR="00CF0ABA" w:rsidRDefault="00CF0ABA" w:rsidP="00CF0AB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u w:val="single"/>
        </w:rPr>
      </w:pPr>
      <w:r w:rsidRPr="00AF2676">
        <w:rPr>
          <w:rFonts w:ascii="Times New Roman" w:hAnsi="Times New Roman" w:cs="Times New Roman"/>
          <w:i/>
          <w:sz w:val="20"/>
          <w:szCs w:val="20"/>
        </w:rPr>
        <w:t>до Публічної пропозиції АТ «КРИСТАЛБАНК» на уклад</w:t>
      </w:r>
      <w:r>
        <w:rPr>
          <w:rFonts w:ascii="Times New Roman" w:hAnsi="Times New Roman" w:cs="Times New Roman"/>
          <w:i/>
          <w:sz w:val="20"/>
          <w:szCs w:val="20"/>
        </w:rPr>
        <w:t>е</w:t>
      </w:r>
      <w:r w:rsidRPr="00AF2676">
        <w:rPr>
          <w:rFonts w:ascii="Times New Roman" w:hAnsi="Times New Roman" w:cs="Times New Roman"/>
          <w:i/>
          <w:sz w:val="20"/>
          <w:szCs w:val="20"/>
        </w:rPr>
        <w:t xml:space="preserve">ння </w:t>
      </w:r>
      <w:r>
        <w:rPr>
          <w:rFonts w:ascii="Times New Roman" w:hAnsi="Times New Roman" w:cs="Times New Roman"/>
          <w:i/>
          <w:sz w:val="20"/>
          <w:szCs w:val="20"/>
        </w:rPr>
        <w:t>Д</w:t>
      </w:r>
      <w:r w:rsidRPr="00AF2676">
        <w:rPr>
          <w:rFonts w:ascii="Times New Roman" w:hAnsi="Times New Roman" w:cs="Times New Roman"/>
          <w:i/>
          <w:sz w:val="20"/>
          <w:szCs w:val="20"/>
        </w:rPr>
        <w:t xml:space="preserve">оговору комплексного банківського обслуговування </w:t>
      </w:r>
      <w:r>
        <w:rPr>
          <w:rFonts w:ascii="Times New Roman" w:hAnsi="Times New Roman" w:cs="Times New Roman"/>
          <w:i/>
          <w:sz w:val="20"/>
          <w:szCs w:val="20"/>
        </w:rPr>
        <w:t xml:space="preserve">юридичних та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самозайнятих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F2676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Start w:id="1" w:name="_GoBack"/>
      <w:bookmarkEnd w:id="1"/>
      <w:r w:rsidRPr="00AF2676">
        <w:rPr>
          <w:rFonts w:ascii="Times New Roman" w:hAnsi="Times New Roman" w:cs="Times New Roman"/>
          <w:i/>
          <w:sz w:val="20"/>
          <w:szCs w:val="20"/>
        </w:rPr>
        <w:t>осіб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17"/>
        <w:gridCol w:w="4675"/>
      </w:tblGrid>
      <w:tr w:rsidR="007354FB" w:rsidRPr="007354FB" w:rsidTr="00A3574E">
        <w:tc>
          <w:tcPr>
            <w:tcW w:w="5352" w:type="dxa"/>
          </w:tcPr>
          <w:p w:rsidR="007354FB" w:rsidRPr="007354FB" w:rsidRDefault="007354FB" w:rsidP="007354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54FB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>
                  <wp:extent cx="2133600" cy="3505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:rsidR="007354FB" w:rsidRPr="007354FB" w:rsidRDefault="007354FB" w:rsidP="007354F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54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7354FB" w:rsidRPr="007354FB" w:rsidRDefault="007354FB" w:rsidP="007354FB">
      <w:pPr>
        <w:keepNext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354FB" w:rsidRPr="007354FB" w:rsidRDefault="007354FB" w:rsidP="007354FB">
      <w:pPr>
        <w:keepNext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354F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ДОВІДКА</w:t>
      </w:r>
      <w:r w:rsidRPr="007354FB">
        <w:rPr>
          <w:rFonts w:ascii="Times New Roman" w:eastAsia="Times New Roman" w:hAnsi="Times New Roman" w:cs="Times New Roman"/>
          <w:b/>
          <w:bCs/>
          <w:lang w:eastAsia="ru-RU"/>
        </w:rPr>
        <w:br/>
      </w:r>
      <w:r w:rsidRPr="007354F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про систему гарантування вкладів фізичних осіб</w:t>
      </w:r>
    </w:p>
    <w:tbl>
      <w:tblPr>
        <w:tblW w:w="10065" w:type="dxa"/>
        <w:tblInd w:w="-269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0"/>
        <w:gridCol w:w="7215"/>
      </w:tblGrid>
      <w:tr w:rsidR="007354FB" w:rsidRPr="007354FB" w:rsidTr="00A3574E">
        <w:trPr>
          <w:trHeight w:val="1045"/>
        </w:trPr>
        <w:tc>
          <w:tcPr>
            <w:tcW w:w="10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54FB" w:rsidRDefault="007354FB" w:rsidP="007354FB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Вклади у</w:t>
            </w:r>
            <w:r w:rsidRPr="007354FB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 АКЦІОНЕРНОМУ ТОВАРИСТВІ «КРИСТАЛБАНК» </w:t>
            </w:r>
            <w:r w:rsidRPr="00735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br/>
              <w:t xml:space="preserve"> (найменування банку)</w:t>
            </w:r>
          </w:p>
          <w:p w:rsidR="00915A2C" w:rsidRPr="00C23EE4" w:rsidRDefault="007359F7" w:rsidP="007359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bookmarkStart w:id="2" w:name="465"/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№ 229 від </w:t>
            </w:r>
            <w:r w:rsidR="00791E6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20 серпня 2025 року</w:t>
            </w:r>
            <w:r w:rsidR="00915A2C" w:rsidRPr="00C23EE4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br/>
            </w:r>
            <w:r w:rsidR="00915A2C" w:rsidRPr="00C23EE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(номер і дата видачі свідоцтва учасника Фонду гарантування вкладів фізичних осіб)</w:t>
            </w:r>
          </w:p>
          <w:bookmarkEnd w:id="2"/>
          <w:p w:rsidR="007354FB" w:rsidRPr="007354FB" w:rsidRDefault="00CC3767" w:rsidP="000E5A83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0458D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гарантовано Фондом гарантування вкладів фізичних осіб (далі – Фонд)</w:t>
            </w:r>
          </w:p>
        </w:tc>
      </w:tr>
      <w:tr w:rsidR="007354FB" w:rsidRPr="007354FB" w:rsidTr="00A3574E">
        <w:trPr>
          <w:trHeight w:val="396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54FB" w:rsidRPr="007354FB" w:rsidRDefault="007354FB" w:rsidP="007354FB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Обмеження гарантії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3767" w:rsidRPr="007354FB" w:rsidRDefault="00CC3767" w:rsidP="00CC3767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Кожному вкладнику відшкодовуються кошти в розмірі вкладу (включно з відсотками) станом на кінець дня, що передує дню початку процедури виведення Фондом банку з ринку, але не більше суми граничного розміру відшкодування коштів за вкладами, встановленого на цей день, незалежно від кількості вкладів в одному банку.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У разі прийняття Національним банком України рішення про відкликання банківської ліцензії та ліквідацію банку з підстав, визначених 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частиною другою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статті 77 Закону України «Про банки і банківську діяльність», кожному вкладнику гарантується відшкодування коштів за вкладами (включно з відсотками) на кінець дня, що передує дню початку процедури ліквідації банку, але не більше суми граничного розміру відшкодування коштів за вкладами, встановленого на дату прийняття такого рішення, незалежно від кількості вкладів в одному банку.</w:t>
            </w:r>
          </w:p>
          <w:p w:rsidR="00CC3767" w:rsidRPr="007354FB" w:rsidRDefault="00CC3767" w:rsidP="00CC3767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Через три місяці з дня, наступного за днем припинення чи скасування воєнного стану в Україні, введеного Указом Президента України «Про введення воєнного стану в Україні» від 24 лютого 2022 року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№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64/2022, затвердженим Законом України «Про затвердження Указу Президента України «Про введення воєнного стану в Україні» від 24 лютого 2022 року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№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2102-IX (далі - воєнний стан в Україні), сума граничного розміру відшкодування коштів за вкладами не може становити менше 600 тисяч гривень.</w:t>
            </w:r>
          </w:p>
          <w:p w:rsidR="00CC3767" w:rsidRPr="007354FB" w:rsidRDefault="00CC3767" w:rsidP="00CC3767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Протяг</w:t>
            </w:r>
            <w:r w:rsidRPr="007354FB">
              <w:rPr>
                <w:rFonts w:ascii="Times New Roman" w:eastAsia="Times New Roman" w:hAnsi="Times New Roman" w:cs="Times New Roman"/>
                <w:iCs/>
                <w:lang w:eastAsia="uk-UA"/>
              </w:rPr>
              <w:t xml:space="preserve">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вкладу, включаючи відсотки, нараховані станом на кінець дня, що передує дню початку процедури виведення банку з ринку, крім випадків, передбачених частиною четвертою статті 26 Закону України «Про систему гарантування вкладів фізичних осіб». </w:t>
            </w:r>
          </w:p>
          <w:p w:rsidR="00CC3767" w:rsidRPr="007354FB" w:rsidRDefault="00CC3767" w:rsidP="00CC3767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Відповідно до частини четвертої статті 26 Закону України «Про систему гарантування вкладів фізичних осіб», не відшкодовуються кошти:</w:t>
            </w:r>
          </w:p>
          <w:p w:rsidR="00CC3767" w:rsidRPr="007354FB" w:rsidRDefault="00CC3767" w:rsidP="00CC3767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передані банку в довірче управління;</w:t>
            </w:r>
          </w:p>
          <w:p w:rsidR="00CC3767" w:rsidRPr="007354FB" w:rsidRDefault="00CC3767" w:rsidP="00CC3767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вкладом у розмірі менше ніж 10 гривень;</w:t>
            </w:r>
          </w:p>
          <w:p w:rsidR="00CC3767" w:rsidRPr="007354FB" w:rsidRDefault="00CC3767" w:rsidP="00CC3767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розміщені на вклад у банку особою, яка є пов’язаною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неплатоспроможних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або до дня прийняття Національним банком України рішення про відкликання банківської ліцензії та ліквідацію банку з підстав, визначених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частиною другою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статті 77 Закону України «Про банки і банківську діяльність»;</w:t>
            </w:r>
          </w:p>
          <w:p w:rsidR="00CC3767" w:rsidRPr="007354FB" w:rsidRDefault="00CC3767" w:rsidP="00CC3767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розміщені на вклад у банку особою, яка надавала банку професійні послуги як аудитор, оцінювач, у разі, якщо з дня припинення надання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послуг до дня прийняття Національним банком України рішення про віднесення такого банку до категорії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неплатоспроможних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не минув один рік (у разі прийняття Національним банком України рішення про відкликання банківської ліцензії та ліквідацію банку з підстав, визначених частиною другою статті 77 Закону України «Про банки і банківську діяльність», - один рік до дня прийняття такого рішення);</w:t>
            </w:r>
          </w:p>
          <w:p w:rsidR="00CC3767" w:rsidRPr="007354FB" w:rsidRDefault="00CC3767" w:rsidP="00CC3767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розміщені на вклад власником істотної участі у банку;</w:t>
            </w:r>
          </w:p>
          <w:p w:rsidR="00CC3767" w:rsidRPr="007354FB" w:rsidRDefault="00CC3767" w:rsidP="00CC3767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вкладами у банку, за якими вкладники на індивідуальній основі отримують від банку проценти за договорами, укладеними на умовах, що не є поточними ринковими умовами відповідно до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статті 52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Закону України «Про банки і банківську діяльність», або мають інші фінансові привілеї від банку;</w:t>
            </w:r>
          </w:p>
          <w:p w:rsidR="00CC3767" w:rsidRPr="007354FB" w:rsidRDefault="00CC3767" w:rsidP="00CC3767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вкладом у банку, якщо такий вклад використовується вкладником як засіб забезпечення виконання іншого зобов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’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язання перед цим банком, у повному обсязі вкладу до дня виконання зобов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’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язань;</w:t>
            </w:r>
          </w:p>
          <w:p w:rsidR="00CC3767" w:rsidRPr="007354FB" w:rsidRDefault="00CC3767" w:rsidP="00CC3767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вкладами у філіях іноземних банків;</w:t>
            </w:r>
          </w:p>
          <w:p w:rsidR="00CC3767" w:rsidRPr="007354FB" w:rsidRDefault="00CC3767" w:rsidP="00CC3767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 вкладами у банківських металах;</w:t>
            </w:r>
          </w:p>
          <w:p w:rsidR="00CC3767" w:rsidRPr="007354FB" w:rsidRDefault="00CC3767" w:rsidP="00CC3767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розміщені на рахунках, що перебувають під арештом за рішенням суду;</w:t>
            </w:r>
          </w:p>
          <w:p w:rsidR="00CC3767" w:rsidRDefault="00CC3767" w:rsidP="00CC3767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за вкладом, задоволення вимог за яким </w:t>
            </w:r>
            <w:proofErr w:type="spellStart"/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зупинено</w:t>
            </w:r>
            <w:proofErr w:type="spellEnd"/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відповідно до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Закону України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;</w:t>
            </w:r>
          </w:p>
          <w:p w:rsidR="007354FB" w:rsidRPr="007354FB" w:rsidRDefault="00CC3767" w:rsidP="00CC3767">
            <w:pPr>
              <w:spacing w:after="0" w:line="240" w:lineRule="auto"/>
              <w:ind w:left="113" w:right="113" w:firstLine="321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- 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розміщені на вклад у банку особою, до якої застосовано санкції іноземними державами (крім держав, що здійснили або здійснюють збройну агресію проти України у значенн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і, наведеному в Законі України «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Про оборону України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»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) або міждержавними об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’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 xml:space="preserve">єднаннями, або міжнародними організаціями та/або застосовано санкції відповідно до Закону України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«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Про санкції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»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</w:tr>
      <w:tr w:rsidR="007354FB" w:rsidRPr="007354FB" w:rsidTr="00A3574E">
        <w:trPr>
          <w:trHeight w:val="1522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54FB" w:rsidRPr="007354FB" w:rsidRDefault="007354FB" w:rsidP="007354FB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Якщо у вкладника більше одного вкладу в банку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54FB" w:rsidRPr="007354FB" w:rsidRDefault="00CC3767" w:rsidP="00C23EE4">
            <w:pPr>
              <w:spacing w:before="150" w:after="15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Фонд, відповідно до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статті 26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 Закону України «Про систему гарантування вкладів фізичних осіб», відшкодовує кошти в розмірі вкладу (включно з відсотками), але не більше суми граничного розміру відшкодування коштів за вкладами, незалежно від кількості вкладів в одному банку.</w:t>
            </w:r>
          </w:p>
        </w:tc>
      </w:tr>
      <w:tr w:rsidR="007354FB" w:rsidRPr="007354FB" w:rsidTr="00A3574E">
        <w:trPr>
          <w:trHeight w:val="963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54FB" w:rsidRPr="007354FB" w:rsidRDefault="007354FB" w:rsidP="007354FB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Період відшкодування коштів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3767" w:rsidRPr="007354FB" w:rsidRDefault="00CC3767" w:rsidP="00CC3767">
            <w:pPr>
              <w:spacing w:before="150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Виплата відшкодування коштів розпочинається в порядку та у черговості, встановлених Фондом, не пізніше ніж 20 робочих днів (для банків, база даних про вкладників яких містить інформацію про більше ніж 500000 рахунків, - не пізніше ніж 30 робочих днів) з дня початку процедури виведення Фондом банку з ринку або з дня початку процедури ліквідації банку - у разі прийняття Національним банком України рішення про відкликання банківської ліцензії та ліквідацію банку з підстав, визначених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частиною другою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статті 77 Закону України «Про банки і банківську діяльність». </w:t>
            </w:r>
          </w:p>
          <w:p w:rsidR="00CC3767" w:rsidRPr="00C53DAE" w:rsidRDefault="00CC3767" w:rsidP="00CC3767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операції, здійснені платіжною системою (внутрішньодержавною та міжнародною).</w:t>
            </w:r>
          </w:p>
          <w:p w:rsidR="00CC3767" w:rsidRPr="007354FB" w:rsidRDefault="00CC3767" w:rsidP="00CC3767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операції, здійснені платіжною системою (внутрішньодержавною та міжнародною).</w:t>
            </w:r>
          </w:p>
          <w:p w:rsidR="007354FB" w:rsidRPr="007354FB" w:rsidRDefault="007354FB" w:rsidP="007354FB">
            <w:pPr>
              <w:spacing w:after="0" w:line="240" w:lineRule="auto"/>
              <w:ind w:left="113" w:right="113" w:firstLine="32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354FB" w:rsidRPr="007354FB" w:rsidTr="00A3574E">
        <w:trPr>
          <w:trHeight w:val="40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54FB" w:rsidRPr="007354FB" w:rsidRDefault="007354FB" w:rsidP="007354FB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Валюта відшкодування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3767" w:rsidRPr="007354FB" w:rsidRDefault="00CC3767" w:rsidP="00CC3767">
            <w:pPr>
              <w:spacing w:before="150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валют, встановленим Національним банком України на кінець дня, що передує дню початку процедури виведення Фондом  банку з ринку та здійснення тимчасової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адміністрації відповідно до 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статті 36</w:t>
            </w:r>
            <w:r w:rsidR="00791E67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Закону України «Про систему гарантування вкладів фізичних осіб».</w:t>
            </w:r>
          </w:p>
          <w:p w:rsidR="007354FB" w:rsidRPr="007354FB" w:rsidRDefault="00CC3767" w:rsidP="00CC3767">
            <w:pPr>
              <w:spacing w:before="150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У разі прийняття Національним банком України рішення про відкликання банківської ліцензії та ліквідацію банку з підстав, визначених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частиною другою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 статті 77 Закону України «Про банки і банківську діяльність»,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валюти, встановленим Національним банком України станом на кінець дня, що передує дню початку процедури ліквідації банку.</w:t>
            </w:r>
          </w:p>
        </w:tc>
      </w:tr>
      <w:tr w:rsidR="007354FB" w:rsidRPr="007354FB" w:rsidTr="00A3574E">
        <w:trPr>
          <w:trHeight w:val="1142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54FB" w:rsidRPr="007354FB" w:rsidRDefault="007354FB" w:rsidP="00CC3767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Контактна інформація Фонду 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54FB" w:rsidRPr="007354FB" w:rsidRDefault="007354FB" w:rsidP="00CF335A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04053, м. Київ, вулиця Січових Стрільців, 17,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br/>
              <w:t>номер телефону гарячої лінії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br/>
            </w:r>
            <w:r w:rsidR="00CF335A" w:rsidRPr="00C23EE4">
              <w:rPr>
                <w:rFonts w:ascii="Times New Roman" w:eastAsia="Times New Roman" w:hAnsi="Times New Roman" w:cs="Times New Roman"/>
                <w:lang w:eastAsia="uk-UA"/>
              </w:rPr>
              <w:t xml:space="preserve"> 0-800-105-800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br/>
              <w:t>(044) 333-36-55</w:t>
            </w:r>
          </w:p>
        </w:tc>
      </w:tr>
      <w:tr w:rsidR="007354FB" w:rsidRPr="007354FB" w:rsidTr="00A3574E">
        <w:trPr>
          <w:trHeight w:val="27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54FB" w:rsidRPr="007354FB" w:rsidRDefault="007354FB" w:rsidP="007354FB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Докладніша інформація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54FB" w:rsidRPr="007354FB" w:rsidRDefault="00CF0ABA" w:rsidP="007354FB">
            <w:pPr>
              <w:tabs>
                <w:tab w:val="left" w:pos="3344"/>
              </w:tabs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hyperlink r:id="rId7" w:history="1">
              <w:r w:rsidR="007354FB" w:rsidRPr="007354FB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http://www.fg.gov.ua</w:t>
              </w:r>
            </w:hyperlink>
          </w:p>
        </w:tc>
      </w:tr>
      <w:tr w:rsidR="007354FB" w:rsidRPr="007354FB" w:rsidTr="00A3574E">
        <w:trPr>
          <w:trHeight w:val="77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54FB" w:rsidRPr="007354FB" w:rsidRDefault="007354FB" w:rsidP="007354FB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Підтвердження одержання вкладником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54FB" w:rsidRPr="007354FB" w:rsidRDefault="007354FB" w:rsidP="007354FB">
            <w:pPr>
              <w:spacing w:before="150"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_______________________________</w:t>
            </w:r>
          </w:p>
          <w:p w:rsidR="007354FB" w:rsidRPr="007354FB" w:rsidRDefault="007354FB" w:rsidP="007354FB">
            <w:pPr>
              <w:spacing w:after="0" w:line="160" w:lineRule="atLeast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  <w:t xml:space="preserve">               </w:t>
            </w:r>
            <w:r w:rsidRPr="007354F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(підпис вкладника)</w:t>
            </w:r>
          </w:p>
        </w:tc>
      </w:tr>
      <w:tr w:rsidR="007354FB" w:rsidRPr="007354FB" w:rsidTr="00A3574E">
        <w:trPr>
          <w:trHeight w:val="526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54FB" w:rsidRPr="007354FB" w:rsidRDefault="007354FB" w:rsidP="007354FB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Додаткова інформація</w:t>
            </w:r>
          </w:p>
        </w:tc>
        <w:tc>
          <w:tcPr>
            <w:tcW w:w="7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3767" w:rsidRPr="007354FB" w:rsidRDefault="00CC3767" w:rsidP="00CC3767">
            <w:pPr>
              <w:spacing w:before="150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Терміни «вклад» та «вкладник» вживаються у значенні</w:t>
            </w:r>
            <w:r w:rsidR="00234519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наведеному в Законі України «Про систему гарантування вкладів фізичних осіб».</w:t>
            </w:r>
          </w:p>
          <w:p w:rsidR="00CC3767" w:rsidRDefault="00CC3767" w:rsidP="00CC3767">
            <w:pPr>
              <w:spacing w:before="150" w:after="15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Банк повідомляє вкладнику на його запит про поширення гарантій Фонду на відшкодування коштів за його вкладо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м відповідно до Закону України «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Про систему гарантування вкладів фізичних осіб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»</w:t>
            </w:r>
            <w:r w:rsidRPr="00C23EE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  <w:p w:rsidR="00CC3767" w:rsidRPr="007354FB" w:rsidRDefault="00CC3767" w:rsidP="00CC3767">
            <w:pPr>
              <w:spacing w:before="150"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uk-UA"/>
              </w:rPr>
            </w:pPr>
            <w:r w:rsidRPr="00D1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Додатково інформація про систему гарантування вкладів зазначається у виписці з рахунка.</w:t>
            </w:r>
            <w:r w:rsidRPr="006D59ED">
              <w:rPr>
                <w:lang w:val="ru-RU"/>
              </w:rPr>
              <w:br/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</w:t>
            </w:r>
            <w:proofErr w:type="spellStart"/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вебсайті</w:t>
            </w:r>
            <w:proofErr w:type="spellEnd"/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 xml:space="preserve"> Фонду оголошення про припинення Фондом виплат гарантованої суми відшкодування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  <w:p w:rsidR="007354FB" w:rsidRPr="007354FB" w:rsidRDefault="00CC3767" w:rsidP="00CC3767">
            <w:pPr>
              <w:spacing w:before="150" w:after="15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Нарахування відсотків за вкладами припиняється у день початку процедури виведення Фондом  банку з ринку або у день прийняття рішення про відкликання банківської ліцензії та ліквідацію банку - у разі прийняття Національним банком України рішення про відкликання банківської ліцензії та ліквідацію банку з підстав, визначених 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частиною другою</w:t>
            </w:r>
            <w:r w:rsidRPr="007354FB">
              <w:rPr>
                <w:rFonts w:ascii="Times New Roman" w:eastAsia="Times New Roman" w:hAnsi="Times New Roman" w:cs="Times New Roman"/>
                <w:lang w:eastAsia="uk-UA"/>
              </w:rPr>
              <w:t> статті 77 Закону України «Про банки і банківську діяльність».</w:t>
            </w:r>
          </w:p>
        </w:tc>
      </w:tr>
      <w:bookmarkEnd w:id="0"/>
    </w:tbl>
    <w:p w:rsidR="007354FB" w:rsidRPr="007354FB" w:rsidRDefault="007354FB" w:rsidP="007354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7F40" w:rsidRDefault="004B7F40"/>
    <w:sectPr w:rsidR="004B7F40" w:rsidSect="00E62A94">
      <w:footerReference w:type="even" r:id="rId8"/>
      <w:footerReference w:type="default" r:id="rId9"/>
      <w:footerReference w:type="first" r:id="rId10"/>
      <w:pgSz w:w="11906" w:h="16838"/>
      <w:pgMar w:top="397" w:right="991" w:bottom="340" w:left="1123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061" w:rsidRDefault="00AE2061">
      <w:pPr>
        <w:spacing w:after="0" w:line="240" w:lineRule="auto"/>
      </w:pPr>
      <w:r>
        <w:separator/>
      </w:r>
    </w:p>
  </w:endnote>
  <w:endnote w:type="continuationSeparator" w:id="0">
    <w:p w:rsidR="00AE2061" w:rsidRDefault="00AE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E" w:rsidRDefault="007354FB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36BE" w:rsidRDefault="00CF0AB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A94" w:rsidRDefault="00CF0ABA" w:rsidP="00E62A94">
    <w:pPr>
      <w:pStyle w:val="a5"/>
    </w:pPr>
  </w:p>
  <w:p w:rsidR="00E62A94" w:rsidRDefault="00CF0ABA" w:rsidP="00E62A94">
    <w:pPr>
      <w:pBdr>
        <w:top w:val="thinThickSmallGap" w:sz="24" w:space="0" w:color="622423"/>
      </w:pBdr>
      <w:tabs>
        <w:tab w:val="center" w:pos="4819"/>
        <w:tab w:val="right" w:pos="9639"/>
      </w:tabs>
      <w:rPr>
        <w:i/>
        <w:sz w:val="20"/>
        <w:szCs w:val="20"/>
      </w:rPr>
    </w:pPr>
  </w:p>
  <w:p w:rsidR="00563FB4" w:rsidRPr="00EE4021" w:rsidRDefault="00CF0ABA" w:rsidP="00E62A94">
    <w:pPr>
      <w:pBdr>
        <w:top w:val="thinThickSmallGap" w:sz="24" w:space="0" w:color="622423"/>
      </w:pBdr>
      <w:tabs>
        <w:tab w:val="center" w:pos="4819"/>
        <w:tab w:val="right" w:pos="9639"/>
      </w:tabs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A94" w:rsidRDefault="00CF0ABA" w:rsidP="00E62A94">
    <w:pPr>
      <w:pStyle w:val="a3"/>
    </w:pPr>
  </w:p>
  <w:p w:rsidR="00E62A94" w:rsidRDefault="00CF0ABA" w:rsidP="00E62A94"/>
  <w:p w:rsidR="00E62A94" w:rsidRDefault="00CF0ABA" w:rsidP="00E62A94">
    <w:pPr>
      <w:pStyle w:val="a5"/>
    </w:pPr>
  </w:p>
  <w:p w:rsidR="00E62A94" w:rsidRDefault="00CF0ABA" w:rsidP="00E62A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061" w:rsidRDefault="00AE2061">
      <w:pPr>
        <w:spacing w:after="0" w:line="240" w:lineRule="auto"/>
      </w:pPr>
      <w:r>
        <w:separator/>
      </w:r>
    </w:p>
  </w:footnote>
  <w:footnote w:type="continuationSeparator" w:id="0">
    <w:p w:rsidR="00AE2061" w:rsidRDefault="00AE2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FB"/>
    <w:rsid w:val="000A01B1"/>
    <w:rsid w:val="000B67FF"/>
    <w:rsid w:val="000E5A83"/>
    <w:rsid w:val="000F2192"/>
    <w:rsid w:val="000F7278"/>
    <w:rsid w:val="00124660"/>
    <w:rsid w:val="00234519"/>
    <w:rsid w:val="0027130D"/>
    <w:rsid w:val="002736C1"/>
    <w:rsid w:val="002D2DBF"/>
    <w:rsid w:val="004B7F40"/>
    <w:rsid w:val="004D787B"/>
    <w:rsid w:val="0055255E"/>
    <w:rsid w:val="00580107"/>
    <w:rsid w:val="00702B52"/>
    <w:rsid w:val="007354FB"/>
    <w:rsid w:val="007359F7"/>
    <w:rsid w:val="00791E67"/>
    <w:rsid w:val="00915A2C"/>
    <w:rsid w:val="009917BF"/>
    <w:rsid w:val="00A90A5F"/>
    <w:rsid w:val="00AE2061"/>
    <w:rsid w:val="00AF4F2C"/>
    <w:rsid w:val="00BF6ABC"/>
    <w:rsid w:val="00C23EE4"/>
    <w:rsid w:val="00C53DAE"/>
    <w:rsid w:val="00C93E9D"/>
    <w:rsid w:val="00CC10AB"/>
    <w:rsid w:val="00CC3767"/>
    <w:rsid w:val="00CF0ABA"/>
    <w:rsid w:val="00CF335A"/>
    <w:rsid w:val="00E374D3"/>
    <w:rsid w:val="00F17D40"/>
    <w:rsid w:val="00F3225D"/>
    <w:rsid w:val="00F7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0AF3"/>
  <w15:chartTrackingRefBased/>
  <w15:docId w15:val="{082DC6AB-BB47-42B6-90E8-0D21F098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54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7354FB"/>
  </w:style>
  <w:style w:type="paragraph" w:styleId="a5">
    <w:name w:val="footer"/>
    <w:basedOn w:val="a"/>
    <w:link w:val="a6"/>
    <w:uiPriority w:val="99"/>
    <w:semiHidden/>
    <w:unhideWhenUsed/>
    <w:rsid w:val="007354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7354FB"/>
  </w:style>
  <w:style w:type="character" w:customStyle="1" w:styleId="a7">
    <w:name w:val="Знак Знак"/>
    <w:rsid w:val="007354FB"/>
    <w:rPr>
      <w:rFonts w:ascii="Arial" w:hAnsi="Arial" w:cs="Arial"/>
      <w:b/>
      <w:bCs/>
      <w:noProof w:val="0"/>
      <w:kern w:val="32"/>
      <w:sz w:val="32"/>
      <w:szCs w:val="32"/>
      <w:lang w:val="uk-UA" w:eastAsia="ru-RU" w:bidi="ar-SA"/>
    </w:rPr>
  </w:style>
  <w:style w:type="character" w:styleId="a8">
    <w:name w:val="page number"/>
    <w:basedOn w:val="a0"/>
    <w:rsid w:val="007354FB"/>
  </w:style>
  <w:style w:type="paragraph" w:styleId="a9">
    <w:name w:val="Balloon Text"/>
    <w:basedOn w:val="a"/>
    <w:link w:val="aa"/>
    <w:uiPriority w:val="99"/>
    <w:semiHidden/>
    <w:unhideWhenUsed/>
    <w:rsid w:val="00124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46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fg.gov.u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5431</Words>
  <Characters>3097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Висторопська Людмила Євгенівна</dc:creator>
  <cp:keywords/>
  <dc:description/>
  <cp:lastModifiedBy>Макаренко Наталія Іванівна</cp:lastModifiedBy>
  <cp:revision>8</cp:revision>
  <dcterms:created xsi:type="dcterms:W3CDTF">2025-07-17T12:24:00Z</dcterms:created>
  <dcterms:modified xsi:type="dcterms:W3CDTF">2025-10-14T08:55:00Z</dcterms:modified>
</cp:coreProperties>
</file>